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BC3" w:rsidRPr="006A5B30" w:rsidRDefault="00063748" w:rsidP="006A5B30">
      <w:pPr>
        <w:pStyle w:val="Corps"/>
        <w:spacing w:line="360" w:lineRule="auto"/>
      </w:pPr>
      <w:r w:rsidRPr="006A5B30">
        <w:pict>
          <v:group id="_x0000_s1026" style="position:absolute;margin-left:0;margin-top:73.6pt;width:200.6pt;height:92.9pt;z-index:251661312;mso-wrap-distance-left:12pt;mso-wrap-distance-top:12pt;mso-wrap-distance-right:12pt;mso-wrap-distance-bottom:12pt;mso-position-horizontal-relative:margin;mso-position-vertical-relative:page" coordorigin=",-1" coordsize="2547757,1180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00;top:38099;width:2420757;height:1015034">
              <v:imagedata r:id="rId5" o:title="image"/>
            </v:shape>
            <v:shape id="_x0000_s1028" type="#_x0000_t75" style="position:absolute;top:-1;width:2547757;height:1180134">
              <v:imagedata r:id="rId6" o:title="image1"/>
            </v:shape>
            <w10:wrap anchorx="margin" anchory="page"/>
          </v:group>
        </w:pict>
      </w:r>
    </w:p>
    <w:p w:rsidR="00C17BC3" w:rsidRPr="006A5B30" w:rsidRDefault="00C17BC3" w:rsidP="006A5B30">
      <w:pPr>
        <w:pStyle w:val="Corps"/>
        <w:spacing w:line="360" w:lineRule="auto"/>
      </w:pPr>
    </w:p>
    <w:p w:rsidR="00C17BC3" w:rsidRPr="006A5B30" w:rsidRDefault="00C17BC3" w:rsidP="006A5B30">
      <w:pPr>
        <w:pStyle w:val="Corps"/>
        <w:spacing w:line="360" w:lineRule="auto"/>
      </w:pPr>
    </w:p>
    <w:p w:rsidR="00C17BC3" w:rsidRPr="006A5B30" w:rsidRDefault="00C17BC3" w:rsidP="006A5B30">
      <w:pPr>
        <w:pStyle w:val="Corps"/>
        <w:spacing w:line="360" w:lineRule="auto"/>
      </w:pPr>
    </w:p>
    <w:p w:rsidR="00C17BC3" w:rsidRPr="006A5B30" w:rsidRDefault="00C17BC3" w:rsidP="006A5B30">
      <w:pPr>
        <w:pStyle w:val="Corps"/>
        <w:spacing w:line="360" w:lineRule="auto"/>
      </w:pPr>
    </w:p>
    <w:p w:rsidR="00BF2096" w:rsidRPr="006A5B30" w:rsidRDefault="006A5B30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</w:pPr>
      <w:r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En France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, le </w:t>
      </w:r>
      <w:hyperlink r:id="rId7" w:anchor="glaucome" w:history="1"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glaucome</w:t>
        </w:r>
      </w:hyperlink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 est la deuxi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è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me cause de </w:t>
      </w:r>
      <w:hyperlink r:id="rId8" w:anchor="cecite" w:history="1"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cécité</w:t>
        </w:r>
      </w:hyperlink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 après </w:t>
      </w:r>
      <w:hyperlink r:id="rId9" w:history="1"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la dégénére</w:t>
        </w:r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s</w:t>
        </w:r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 xml:space="preserve">cence </w:t>
        </w:r>
        <w:proofErr w:type="spellStart"/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maculaire</w:t>
        </w:r>
        <w:proofErr w:type="spellEnd"/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 xml:space="preserve"> liée à l’âge (DMLA)</w:t>
        </w:r>
      </w:hyperlink>
      <w:r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. O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n estime qu’entre 600.000 et un million de personnes souffrent de </w:t>
      </w:r>
      <w:hyperlink r:id="rId10" w:anchor="glaucome" w:history="1">
        <w:r w:rsidR="00BF2096" w:rsidRPr="006A5B30">
          <w:rPr>
            <w:rFonts w:ascii="Hoefler Text" w:hAnsi="Hoefler Text" w:cs="Verdana"/>
            <w:bCs/>
            <w:color w:val="343434"/>
            <w:sz w:val="22"/>
            <w:szCs w:val="22"/>
            <w:lang w:val="fr-FR" w:eastAsia="fr-FR"/>
          </w:rPr>
          <w:t>glaucome</w:t>
        </w:r>
      </w:hyperlink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 xml:space="preserve">, dont </w:t>
      </w:r>
      <w:r w:rsidR="00063748" w:rsidRPr="006A5B30">
        <w:rPr>
          <w:rFonts w:ascii="Hoefler Text" w:hAnsi="Hoefler Text"/>
          <w:sz w:val="22"/>
        </w:rPr>
        <w:pict>
          <v:shape id="_x0000_s1029" style="position:absolute;margin-left:-189pt;margin-top:36.9pt;width:558pt;height:83.4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29">
              <w:txbxContent>
                <w:p w:rsidR="0080354E" w:rsidRDefault="00BF2096">
                  <w:pPr>
                    <w:pStyle w:val="Titre"/>
                    <w:rPr>
                      <w:color w:val="2A5792"/>
                      <w:sz w:val="94"/>
                      <w:szCs w:val="94"/>
                      <w:u w:color="2A5792"/>
                    </w:rPr>
                  </w:pPr>
                  <w:r>
                    <w:rPr>
                      <w:color w:val="2A5792"/>
                      <w:sz w:val="94"/>
                      <w:szCs w:val="94"/>
                      <w:u w:color="2A5792"/>
                    </w:rPr>
                    <w:t>Le GLAUCOME</w:t>
                  </w:r>
                </w:p>
                <w:p w:rsidR="0080354E" w:rsidRDefault="00BF2096">
                  <w:pPr>
                    <w:pStyle w:val="En-ttesecondaire"/>
                  </w:pPr>
                  <w:r>
                    <w:rPr>
                      <w:color w:val="FF2C21"/>
                      <w:u w:color="2A5792"/>
                    </w:rPr>
                    <w:t>Mise au Point</w:t>
                  </w:r>
                </w:p>
              </w:txbxContent>
            </v:textbox>
            <w10:wrap type="square" anchorx="margin"/>
          </v:shape>
        </w:pic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400.000 ignorent qu’elles sont conce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r</w:t>
      </w:r>
      <w:r w:rsidR="00BF2096" w:rsidRPr="006A5B30"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  <w:t>nées.</w:t>
      </w: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6"/>
          <w:lang w:val="fr-FR" w:eastAsia="fr-FR"/>
        </w:rPr>
      </w:pP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6"/>
          <w:lang w:val="fr-FR" w:eastAsia="fr-FR"/>
        </w:rPr>
        <w:t>Les symptômes du glaucome</w:t>
      </w: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D’un point de vue des symptômes, on distingue deux grands types de </w:t>
      </w:r>
      <w:hyperlink r:id="rId11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: le </w:t>
      </w:r>
      <w:hyperlink r:id="rId12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aigu qui amène le patient à consulter en urgence du fait de l’intensité de la douleur, et le </w:t>
      </w:r>
      <w:hyperlink r:id="rId13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chronique qui passe inaperçu pendant des années.</w:t>
      </w: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6"/>
          <w:lang w:val="fr-FR" w:eastAsia="fr-FR"/>
        </w:rPr>
      </w:pP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6"/>
          <w:lang w:val="fr-FR" w:eastAsia="fr-FR"/>
        </w:rPr>
        <w:t>Les complications du glaucome</w:t>
      </w: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Quelle que soit sa cause, le </w:t>
      </w:r>
      <w:hyperlink r:id="rId14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évolue to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u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jours vers une dégénérescence des fibres nerveuses qui connectent les cellules de la </w:t>
      </w:r>
      <w:hyperlink r:id="rId15" w:anchor="retin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rétine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au cerveau, du fait de la pression élevée qui règne dans l’œil. En l’état actuel de la médecine, il est impossible de réparer les dommages occasionnés aux fibres nerve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u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ses.</w:t>
      </w:r>
    </w:p>
    <w:tbl>
      <w:tblPr>
        <w:tblW w:w="9040" w:type="dxa"/>
        <w:tblInd w:w="-2664" w:type="dxa"/>
        <w:tblBorders>
          <w:top w:val="single" w:sz="8" w:space="0" w:color="221A21"/>
          <w:left w:val="single" w:sz="8" w:space="0" w:color="221A21"/>
          <w:right w:val="single" w:sz="8" w:space="0" w:color="221A21"/>
        </w:tblBorders>
        <w:tblLayout w:type="fixed"/>
        <w:tblLook w:val="0000"/>
      </w:tblPr>
      <w:tblGrid>
        <w:gridCol w:w="9040"/>
      </w:tblGrid>
      <w:tr w:rsidR="00BF2096" w:rsidRPr="006A5B30">
        <w:tc>
          <w:tcPr>
            <w:tcW w:w="90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BF2096" w:rsidRPr="006A5B30" w:rsidRDefault="006A5B30" w:rsidP="006A5B3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Hoefler Text" w:hAnsi="Hoefler Text" w:cs="Verdana"/>
                <w:bCs/>
                <w:color w:val="365F91" w:themeColor="accent1" w:themeShade="BF"/>
                <w:sz w:val="22"/>
                <w:szCs w:val="22"/>
                <w:lang w:val="fr-FR" w:eastAsia="fr-FR"/>
              </w:rPr>
            </w:pPr>
            <w:r w:rsidRPr="006A5B30">
              <w:rPr>
                <w:rFonts w:ascii="Hoefler Text" w:hAnsi="Hoefler Text" w:cs="Verdana"/>
                <w:bCs/>
                <w:color w:val="365F91" w:themeColor="accent1" w:themeShade="BF"/>
                <w:sz w:val="22"/>
                <w:szCs w:val="22"/>
                <w:lang w:val="fr-FR" w:eastAsia="fr-FR"/>
              </w:rPr>
              <w:t>Glau</w:t>
            </w:r>
            <w:r w:rsidR="00BF2096" w:rsidRPr="006A5B30">
              <w:rPr>
                <w:rFonts w:ascii="Hoefler Text" w:hAnsi="Hoefler Text" w:cs="Verdana"/>
                <w:bCs/>
                <w:color w:val="365F91" w:themeColor="accent1" w:themeShade="BF"/>
                <w:sz w:val="22"/>
                <w:szCs w:val="22"/>
                <w:lang w:val="fr-FR" w:eastAsia="fr-FR"/>
              </w:rPr>
              <w:t>come aigu : prudence avec les médicaments</w:t>
            </w:r>
            <w:r w:rsidRPr="006A5B30">
              <w:rPr>
                <w:rFonts w:ascii="Hoefler Text" w:hAnsi="Hoefler Text" w:cs="Verdana"/>
                <w:bCs/>
                <w:color w:val="365F91" w:themeColor="accent1" w:themeShade="BF"/>
                <w:sz w:val="22"/>
                <w:szCs w:val="22"/>
                <w:lang w:val="fr-FR" w:eastAsia="fr-FR"/>
              </w:rPr>
              <w:t> :</w:t>
            </w:r>
          </w:p>
        </w:tc>
      </w:tr>
      <w:tr w:rsidR="00BF2096" w:rsidRPr="006A5B30">
        <w:tblPrEx>
          <w:tblBorders>
            <w:top w:val="none" w:sz="0" w:space="0" w:color="auto"/>
            <w:bottom w:val="single" w:sz="8" w:space="0" w:color="221A21"/>
          </w:tblBorders>
        </w:tblPrEx>
        <w:tc>
          <w:tcPr>
            <w:tcW w:w="90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BF2096" w:rsidRPr="006A5B30" w:rsidRDefault="00BF2096" w:rsidP="006A5B3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Hoefler Text" w:hAnsi="Hoefler Text" w:cs="Verdana"/>
                <w:sz w:val="22"/>
                <w:szCs w:val="22"/>
                <w:lang w:val="fr-FR" w:eastAsia="fr-FR"/>
              </w:rPr>
            </w:pP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Une crise de </w:t>
            </w:r>
            <w:hyperlink r:id="rId16" w:anchor="glaucom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glaucome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 aigu (à angle fermé) peut être déclenchée par la prise de médicaments qui dilatent la </w:t>
            </w:r>
            <w:hyperlink r:id="rId17" w:anchor="pupill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pupille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. Il s'agit principalement de médicaments dits </w:t>
            </w:r>
            <w:proofErr w:type="spellStart"/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atropiniques</w:t>
            </w:r>
            <w:proofErr w:type="spellEnd"/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. Outre l'</w:t>
            </w:r>
            <w:hyperlink r:id="rId18" w:anchor="atropin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atropine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 et ses dérivés, d'autres médicaments sont concernés : les antidépresseurs dits </w:t>
            </w:r>
            <w:proofErr w:type="spellStart"/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im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i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praminiques</w:t>
            </w:r>
            <w:proofErr w:type="spellEnd"/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, certains antihistaminiques contre l'</w:t>
            </w:r>
            <w:hyperlink r:id="rId19" w:anchor="allergi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allergie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, certains antispa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s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modiques (contre les maux de ventre), certains antiparkinsoniens, ainsi que les neur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o</w:t>
            </w:r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leptiques. Ces médicaments sont donc formellement contre-indiqués chez les personnes ayant déjà fait des crises de </w:t>
            </w:r>
            <w:hyperlink r:id="rId20" w:anchor="glaucom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glaucome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 xml:space="preserve"> à angle fermé, ou chez qui un ophtalmologue a détecté un risque de développer ce type de </w:t>
            </w:r>
            <w:hyperlink r:id="rId21" w:anchor="glaucome" w:history="1">
              <w:r w:rsidRPr="006A5B30">
                <w:rPr>
                  <w:rFonts w:ascii="Hoefler Text" w:hAnsi="Hoefler Text" w:cs="Verdana"/>
                  <w:sz w:val="22"/>
                  <w:szCs w:val="22"/>
                  <w:lang w:val="fr-FR" w:eastAsia="fr-FR"/>
                </w:rPr>
                <w:t>glaucome</w:t>
              </w:r>
            </w:hyperlink>
            <w:r w:rsidRPr="006A5B30">
              <w:rPr>
                <w:rFonts w:ascii="Hoefler Text" w:hAnsi="Hoefler Text" w:cs="Verdana"/>
                <w:sz w:val="22"/>
                <w:szCs w:val="22"/>
                <w:lang w:val="fr-FR" w:eastAsia="fr-FR"/>
              </w:rPr>
              <w:t>.</w:t>
            </w:r>
          </w:p>
        </w:tc>
      </w:tr>
    </w:tbl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</w:pP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Certaines personnes sont-elles plus à risque de dév</w:t>
      </w: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e</w:t>
      </w: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lopper un glaucome ?</w:t>
      </w:r>
    </w:p>
    <w:p w:rsidR="006A5B30" w:rsidRPr="006A5B30" w:rsidRDefault="006A5B30" w:rsidP="006A5B3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présentant des antécédents familiaux de glaucome.</w:t>
      </w:r>
    </w:p>
    <w:p w:rsidR="00BF2096" w:rsidRPr="006A5B30" w:rsidRDefault="00BF2096" w:rsidP="006A5B30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dont la pression intraoculaire est élevée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de plus de 60 ans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diabétiques, hypertendues ou souffrant de maladies cardiovasculaires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très myopes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souffrant d’</w:t>
      </w:r>
      <w:hyperlink r:id="rId22" w:anchor="hypothyroidi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hypothyroïdie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ayant été blessées aux yeux ou ayant eu de graves infections de l’œil (uvéites)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d’origine africaine, asiatique ou scandin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ve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fumeurs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>personnes recevant des collyres à base de cortico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ï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des sur une longue durée ;</w:t>
      </w:r>
    </w:p>
    <w:p w:rsidR="00BF2096" w:rsidRPr="006A5B30" w:rsidRDefault="00BF2096" w:rsidP="006A5B30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personnes dont la </w:t>
      </w:r>
      <w:hyperlink r:id="rId23" w:anchor="corne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cornée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est fine ;</w:t>
      </w:r>
    </w:p>
    <w:p w:rsidR="006A5B30" w:rsidRDefault="00BF2096" w:rsidP="006A5B30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Les personnes âgées, les personnes hypermétropes et celles qui reçoivent des collyres </w:t>
      </w:r>
      <w:proofErr w:type="spellStart"/>
      <w:r w:rsidRPr="006A5B30">
        <w:rPr>
          <w:rFonts w:ascii="Hoefler Text" w:hAnsi="Hoefler Text" w:cs="Verdana"/>
          <w:sz w:val="22"/>
          <w:szCs w:val="22"/>
          <w:lang w:val="fr-FR" w:eastAsia="fr-FR"/>
        </w:rPr>
        <w:t>atropiniques</w:t>
      </w:r>
      <w:proofErr w:type="spellEnd"/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(qui dil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tent la </w:t>
      </w:r>
      <w:hyperlink r:id="rId24" w:anchor="pupill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pupille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) sont plus à risque de développer un </w:t>
      </w:r>
      <w:hyperlink r:id="rId25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aigu.</w:t>
      </w:r>
    </w:p>
    <w:p w:rsidR="00BF2096" w:rsidRPr="006A5B30" w:rsidRDefault="00BF2096" w:rsidP="006A5B30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6A5B30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Peut-on prévenir le glaucome ?</w:t>
      </w:r>
    </w:p>
    <w:p w:rsidR="00BF2096" w:rsidRPr="006A5B30" w:rsidRDefault="00BF2096" w:rsidP="006A5B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La prévention du </w:t>
      </w:r>
      <w:hyperlink r:id="rId26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repose sur un dépistage précoce d’une éventuelle augmentation de la pre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s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sion intraoculaire, et sur l’ensemble des mesures destinées à prévenir les maladies cardiovasculaires (alimentation équilibrée, activité physique régulière et arrêt du tabac). De plus, la prévention des acc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dents touchant les yeux contribue à diminuer le risque de d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é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ve</w:t>
      </w:r>
      <w:r w:rsidR="006A5B30">
        <w:rPr>
          <w:rFonts w:ascii="Hoefler Text" w:hAnsi="Hoefler Text" w:cs="Verdana"/>
          <w:noProof/>
          <w:sz w:val="22"/>
          <w:szCs w:val="22"/>
          <w:lang w:val="fr-FR" w:eastAsia="fr-FR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-2171700</wp:posOffset>
            </wp:positionH>
            <wp:positionV relativeFrom="line">
              <wp:posOffset>117475</wp:posOffset>
            </wp:positionV>
            <wp:extent cx="1438910" cy="1392555"/>
            <wp:effectExtent l="25400" t="0" r="889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lopper un </w:t>
      </w:r>
      <w:hyperlink r:id="rId28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: port de lunettes protectrices lors de sports de balle ou d’activités p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o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tentiellement dangereuses. Les personnes qui ont des antécédents familiaux de </w:t>
      </w:r>
      <w:hyperlink r:id="rId29" w:anchor="glaucome" w:history="1">
        <w:r w:rsidRPr="006A5B30">
          <w:rPr>
            <w:rFonts w:ascii="Hoefler Text" w:hAnsi="Hoefler Text" w:cs="Verdana"/>
            <w:sz w:val="22"/>
            <w:szCs w:val="22"/>
            <w:lang w:val="fr-FR" w:eastAsia="fr-FR"/>
          </w:rPr>
          <w:t>glaucome</w:t>
        </w:r>
      </w:hyperlink>
      <w:r w:rsidRPr="006A5B30">
        <w:rPr>
          <w:rFonts w:ascii="Hoefler Text" w:hAnsi="Hoefler Text" w:cs="Verdana"/>
          <w:sz w:val="22"/>
          <w:szCs w:val="22"/>
          <w:lang w:val="fr-FR" w:eastAsia="fr-FR"/>
        </w:rPr>
        <w:t xml:space="preserve"> ou d’autres facteurs de risque devraient faire mesurer leur pre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s</w:t>
      </w:r>
      <w:r w:rsidRPr="006A5B30">
        <w:rPr>
          <w:rFonts w:ascii="Hoefler Text" w:hAnsi="Hoefler Text" w:cs="Verdana"/>
          <w:sz w:val="22"/>
          <w:szCs w:val="22"/>
          <w:lang w:val="fr-FR" w:eastAsia="fr-FR"/>
        </w:rPr>
        <w:t>sion intraoculaire par un ophtalmologue tous les deux à trois ans, dès l’â</w:t>
      </w:r>
      <w:r w:rsidR="006A5B30">
        <w:rPr>
          <w:rFonts w:ascii="Hoefler Text" w:hAnsi="Hoefler Text" w:cs="Verdana"/>
          <w:sz w:val="22"/>
          <w:szCs w:val="22"/>
          <w:lang w:val="fr-FR" w:eastAsia="fr-FR"/>
        </w:rPr>
        <w:t>ge de 40 ans.</w:t>
      </w:r>
    </w:p>
    <w:p w:rsidR="00C17BC3" w:rsidRPr="006A5B30" w:rsidRDefault="00063748" w:rsidP="006A5B30">
      <w:pPr>
        <w:pStyle w:val="Corps"/>
        <w:spacing w:line="360" w:lineRule="auto"/>
      </w:pPr>
      <w:r w:rsidRPr="006A5B30">
        <w:pict>
          <v:shape id="_x0000_s1031" style="position:absolute;margin-left:-180pt;margin-top:24.9pt;width:138pt;height:5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31">
              <w:txbxContent>
                <w:p w:rsidR="0080354E" w:rsidRDefault="00063748">
                  <w:pPr>
                    <w:pStyle w:val="Lgende"/>
                  </w:pPr>
                  <w:hyperlink r:id="rId30" w:history="1">
                    <w:r w:rsidR="0080354E">
                      <w:rPr>
                        <w:rStyle w:val="Hyperlink0"/>
                        <w:rFonts w:ascii="Times New Roman" w:eastAsia="Times New Roman" w:hAnsi="Times New Roman" w:cs="Times New Roman"/>
                      </w:rPr>
                      <w:t>www.lamedecinelibre.com</w:t>
                    </w:r>
                  </w:hyperlink>
                </w:p>
              </w:txbxContent>
            </v:textbox>
            <w10:wrap type="square" side="left" anchorx="margin"/>
          </v:shape>
        </w:pict>
      </w:r>
    </w:p>
    <w:sectPr w:rsidR="00C17BC3" w:rsidRPr="006A5B30" w:rsidSect="00C17BC3">
      <w:headerReference w:type="default" r:id="rId31"/>
      <w:footerReference w:type="default" r:id="rId32"/>
      <w:pgSz w:w="11900" w:h="16840"/>
      <w:pgMar w:top="1600" w:right="1600" w:bottom="1400" w:left="4400" w:footer="11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354E" w:rsidRDefault="0080354E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fldSimple w:instr=" PAGE ">
      <w:r w:rsidR="006A5B30">
        <w:rPr>
          <w:noProof/>
        </w:rPr>
        <w:t>2</w:t>
      </w:r>
    </w:fldSimple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354E" w:rsidRDefault="0080354E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r w:rsidR="00BF2096">
      <w:t>Glaucome</w:t>
    </w:r>
  </w:p>
  <w:p w:rsidR="0080354E" w:rsidRDefault="0080354E">
    <w:pPr>
      <w:pStyle w:val="En-tte"/>
      <w:tabs>
        <w:tab w:val="center" w:pos="2950"/>
        <w:tab w:val="right" w:pos="5880"/>
      </w:tabs>
      <w:jc w:val="left"/>
    </w:pPr>
  </w:p>
  <w:p w:rsidR="0080354E" w:rsidRDefault="0080354E">
    <w:pPr>
      <w:pStyle w:val="En-tte"/>
      <w:tabs>
        <w:tab w:val="center" w:pos="2950"/>
        <w:tab w:val="right" w:pos="5880"/>
      </w:tabs>
      <w:jc w:val="left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A72BCA"/>
    <w:multiLevelType w:val="hybridMultilevel"/>
    <w:tmpl w:val="1C08D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C7CEB"/>
    <w:multiLevelType w:val="hybridMultilevel"/>
    <w:tmpl w:val="4BC41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A7A15"/>
    <w:multiLevelType w:val="hybridMultilevel"/>
    <w:tmpl w:val="7D56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91C20"/>
    <w:multiLevelType w:val="hybridMultilevel"/>
    <w:tmpl w:val="714AA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483F"/>
    <w:multiLevelType w:val="hybridMultilevel"/>
    <w:tmpl w:val="9C2025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6C6AEA"/>
    <w:multiLevelType w:val="multilevel"/>
    <w:tmpl w:val="CABC20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11">
    <w:nsid w:val="247C731B"/>
    <w:multiLevelType w:val="hybridMultilevel"/>
    <w:tmpl w:val="418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0188C"/>
    <w:multiLevelType w:val="hybridMultilevel"/>
    <w:tmpl w:val="B292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B4240"/>
    <w:multiLevelType w:val="hybridMultilevel"/>
    <w:tmpl w:val="827C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29DF"/>
    <w:multiLevelType w:val="hybridMultilevel"/>
    <w:tmpl w:val="0C0C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759E1"/>
    <w:multiLevelType w:val="hybridMultilevel"/>
    <w:tmpl w:val="B96A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69BE"/>
    <w:multiLevelType w:val="hybridMultilevel"/>
    <w:tmpl w:val="D0A8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03CD"/>
    <w:multiLevelType w:val="hybridMultilevel"/>
    <w:tmpl w:val="0A28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14C4"/>
    <w:multiLevelType w:val="hybridMultilevel"/>
    <w:tmpl w:val="941E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1030B"/>
    <w:multiLevelType w:val="hybridMultilevel"/>
    <w:tmpl w:val="EE6E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26CE"/>
    <w:multiLevelType w:val="hybridMultilevel"/>
    <w:tmpl w:val="EFAE8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DF5"/>
    <w:multiLevelType w:val="hybridMultilevel"/>
    <w:tmpl w:val="BD98E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C7752"/>
    <w:multiLevelType w:val="hybridMultilevel"/>
    <w:tmpl w:val="C158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63A"/>
    <w:multiLevelType w:val="multilevel"/>
    <w:tmpl w:val="E5466E12"/>
    <w:styleLink w:val="Pu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24">
    <w:nsid w:val="4D480C83"/>
    <w:multiLevelType w:val="hybridMultilevel"/>
    <w:tmpl w:val="59BE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C5B94"/>
    <w:multiLevelType w:val="hybridMultilevel"/>
    <w:tmpl w:val="FB62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16591"/>
    <w:multiLevelType w:val="hybridMultilevel"/>
    <w:tmpl w:val="1E22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3A76"/>
    <w:multiLevelType w:val="hybridMultilevel"/>
    <w:tmpl w:val="4F8E72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735F32"/>
    <w:multiLevelType w:val="hybridMultilevel"/>
    <w:tmpl w:val="859E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0F36"/>
    <w:multiLevelType w:val="hybridMultilevel"/>
    <w:tmpl w:val="3FF4C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3BD1"/>
    <w:multiLevelType w:val="hybridMultilevel"/>
    <w:tmpl w:val="EC0A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22718"/>
    <w:multiLevelType w:val="hybridMultilevel"/>
    <w:tmpl w:val="040A64A8"/>
    <w:lvl w:ilvl="0" w:tplc="0A26D466">
      <w:start w:val="1"/>
      <w:numFmt w:val="decimal"/>
      <w:lvlText w:val="%1)"/>
      <w:lvlJc w:val="left"/>
      <w:pPr>
        <w:ind w:left="780" w:hanging="420"/>
      </w:pPr>
      <w:rPr>
        <w:rFonts w:hint="default"/>
        <w:b/>
        <w:color w:val="2626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254A7"/>
    <w:multiLevelType w:val="hybridMultilevel"/>
    <w:tmpl w:val="A7620E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C21FD8"/>
    <w:multiLevelType w:val="hybridMultilevel"/>
    <w:tmpl w:val="A89E22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051C61"/>
    <w:multiLevelType w:val="hybridMultilevel"/>
    <w:tmpl w:val="D4D6B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0"/>
  </w:num>
  <w:num w:numId="7">
    <w:abstractNumId w:val="1"/>
  </w:num>
  <w:num w:numId="8">
    <w:abstractNumId w:val="16"/>
  </w:num>
  <w:num w:numId="9">
    <w:abstractNumId w:val="33"/>
  </w:num>
  <w:num w:numId="10">
    <w:abstractNumId w:val="30"/>
  </w:num>
  <w:num w:numId="11">
    <w:abstractNumId w:val="17"/>
  </w:num>
  <w:num w:numId="12">
    <w:abstractNumId w:val="28"/>
  </w:num>
  <w:num w:numId="13">
    <w:abstractNumId w:val="9"/>
  </w:num>
  <w:num w:numId="14">
    <w:abstractNumId w:val="27"/>
  </w:num>
  <w:num w:numId="15">
    <w:abstractNumId w:val="18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3"/>
  </w:num>
  <w:num w:numId="21">
    <w:abstractNumId w:val="4"/>
  </w:num>
  <w:num w:numId="22">
    <w:abstractNumId w:val="15"/>
  </w:num>
  <w:num w:numId="23">
    <w:abstractNumId w:val="19"/>
  </w:num>
  <w:num w:numId="24">
    <w:abstractNumId w:val="29"/>
  </w:num>
  <w:num w:numId="25">
    <w:abstractNumId w:val="6"/>
  </w:num>
  <w:num w:numId="26">
    <w:abstractNumId w:val="13"/>
  </w:num>
  <w:num w:numId="27">
    <w:abstractNumId w:val="12"/>
  </w:num>
  <w:num w:numId="28">
    <w:abstractNumId w:val="7"/>
  </w:num>
  <w:num w:numId="29">
    <w:abstractNumId w:val="14"/>
  </w:num>
  <w:num w:numId="30">
    <w:abstractNumId w:val="20"/>
  </w:num>
  <w:num w:numId="31">
    <w:abstractNumId w:val="21"/>
  </w:num>
  <w:num w:numId="32">
    <w:abstractNumId w:val="11"/>
  </w:num>
  <w:num w:numId="33">
    <w:abstractNumId w:val="8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autoHyphenation/>
  <w:hyphenationZone w:val="425"/>
  <w:characterSpacingControl w:val="doNotCompress"/>
  <w:savePreviewPicture/>
  <w:hdrShapeDefaults>
    <o:shapedefaults v:ext="edit" spidmax="2050"/>
  </w:hdrShapeDefaults>
  <w:compat/>
  <w:rsids>
    <w:rsidRoot w:val="00C17BC3"/>
    <w:rsid w:val="000124E9"/>
    <w:rsid w:val="00021E6E"/>
    <w:rsid w:val="00044EEB"/>
    <w:rsid w:val="00055B99"/>
    <w:rsid w:val="00063748"/>
    <w:rsid w:val="000732CF"/>
    <w:rsid w:val="00096435"/>
    <w:rsid w:val="00117EF2"/>
    <w:rsid w:val="00125F7F"/>
    <w:rsid w:val="0017248B"/>
    <w:rsid w:val="00190EC6"/>
    <w:rsid w:val="001E632F"/>
    <w:rsid w:val="001F5E0C"/>
    <w:rsid w:val="00231115"/>
    <w:rsid w:val="002D21C8"/>
    <w:rsid w:val="002F1021"/>
    <w:rsid w:val="003071F3"/>
    <w:rsid w:val="0035380D"/>
    <w:rsid w:val="0035616B"/>
    <w:rsid w:val="00360CED"/>
    <w:rsid w:val="0040755A"/>
    <w:rsid w:val="0044384A"/>
    <w:rsid w:val="004A0282"/>
    <w:rsid w:val="004A1D76"/>
    <w:rsid w:val="004A2DB5"/>
    <w:rsid w:val="004C12C9"/>
    <w:rsid w:val="004E226A"/>
    <w:rsid w:val="004F7C5F"/>
    <w:rsid w:val="00500353"/>
    <w:rsid w:val="005210A3"/>
    <w:rsid w:val="0052457C"/>
    <w:rsid w:val="005A4DA8"/>
    <w:rsid w:val="005A72E7"/>
    <w:rsid w:val="005D23CF"/>
    <w:rsid w:val="00682DF7"/>
    <w:rsid w:val="006A5B30"/>
    <w:rsid w:val="006A6AF2"/>
    <w:rsid w:val="006B74F7"/>
    <w:rsid w:val="006C290D"/>
    <w:rsid w:val="006F1CE5"/>
    <w:rsid w:val="00711908"/>
    <w:rsid w:val="00716AAB"/>
    <w:rsid w:val="007A5756"/>
    <w:rsid w:val="007B2FB3"/>
    <w:rsid w:val="0080354E"/>
    <w:rsid w:val="00866B04"/>
    <w:rsid w:val="008A1851"/>
    <w:rsid w:val="008A7D61"/>
    <w:rsid w:val="00907520"/>
    <w:rsid w:val="00953B53"/>
    <w:rsid w:val="009A208F"/>
    <w:rsid w:val="009F1616"/>
    <w:rsid w:val="00AD32D2"/>
    <w:rsid w:val="00AD7887"/>
    <w:rsid w:val="00B109EA"/>
    <w:rsid w:val="00B606BF"/>
    <w:rsid w:val="00BF2096"/>
    <w:rsid w:val="00BF242B"/>
    <w:rsid w:val="00C028C8"/>
    <w:rsid w:val="00C17BC3"/>
    <w:rsid w:val="00C246FF"/>
    <w:rsid w:val="00D7421B"/>
    <w:rsid w:val="00D94A9F"/>
    <w:rsid w:val="00DB6326"/>
    <w:rsid w:val="00E443D2"/>
    <w:rsid w:val="00E51EE7"/>
    <w:rsid w:val="00E55097"/>
    <w:rsid w:val="00E72EF5"/>
    <w:rsid w:val="00E74D4A"/>
    <w:rsid w:val="00EE78F9"/>
    <w:rsid w:val="00F00176"/>
    <w:rsid w:val="00F01C76"/>
    <w:rsid w:val="00F1196B"/>
    <w:rsid w:val="00F43AC5"/>
    <w:rsid w:val="00F50479"/>
    <w:rsid w:val="00F557E6"/>
    <w:rsid w:val="00F91FFA"/>
    <w:rsid w:val="00FB0688"/>
    <w:rsid w:val="00FF7D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C17BC3"/>
    <w:rPr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C17BC3"/>
    <w:rPr>
      <w:u w:val="single"/>
    </w:rPr>
  </w:style>
  <w:style w:type="table" w:customStyle="1" w:styleId="TableNormal">
    <w:name w:val="Table Normal"/>
    <w:rsid w:val="00C17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17BC3"/>
    <w:pPr>
      <w:spacing w:line="288" w:lineRule="auto"/>
      <w:jc w:val="right"/>
    </w:pPr>
    <w:rPr>
      <w:rFonts w:ascii="Avenir Next" w:eastAsia="Avenir Next" w:hAnsi="Avenir Next" w:cs="Avenir Next"/>
      <w:b/>
      <w:bCs/>
      <w:color w:val="AAAAAA"/>
      <w:sz w:val="18"/>
      <w:szCs w:val="18"/>
      <w:u w:color="AAAAAA"/>
    </w:rPr>
  </w:style>
  <w:style w:type="paragraph" w:customStyle="1" w:styleId="Corps">
    <w:name w:val="Corps"/>
    <w:rsid w:val="00C17BC3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u w:color="000000"/>
    </w:rPr>
  </w:style>
  <w:style w:type="paragraph" w:styleId="Titre">
    <w:name w:val="Title"/>
    <w:next w:val="Corps"/>
    <w:rsid w:val="00C17BC3"/>
    <w:pPr>
      <w:keepNext/>
      <w:spacing w:after="40"/>
    </w:pPr>
    <w:rPr>
      <w:rFonts w:ascii="Hoefler Text" w:eastAsia="Hoefler Text" w:hAnsi="Hoefler Text" w:cs="Hoefler Text"/>
      <w:color w:val="00908A"/>
      <w:sz w:val="96"/>
      <w:szCs w:val="96"/>
      <w:u w:color="00908A"/>
    </w:rPr>
  </w:style>
  <w:style w:type="paragraph" w:customStyle="1" w:styleId="En-ttesecondaire">
    <w:name w:val="En-tête secondaire"/>
    <w:next w:val="Corps"/>
    <w:rsid w:val="00C17BC3"/>
    <w:pPr>
      <w:spacing w:before="80" w:after="180"/>
      <w:outlineLvl w:val="0"/>
    </w:pPr>
    <w:rPr>
      <w:rFonts w:ascii="Hoefler Text" w:eastAsia="Hoefler Text" w:hAnsi="Hoefler Text" w:cs="Hoefler Text"/>
      <w:color w:val="E22400"/>
      <w:sz w:val="36"/>
      <w:szCs w:val="36"/>
      <w:u w:color="E22400"/>
    </w:rPr>
  </w:style>
  <w:style w:type="paragraph" w:styleId="Lgende">
    <w:name w:val="caption"/>
    <w:rsid w:val="00C17BC3"/>
    <w:pPr>
      <w:spacing w:before="80" w:after="180" w:line="288" w:lineRule="auto"/>
    </w:pPr>
    <w:rPr>
      <w:rFonts w:ascii="Avenir Next" w:eastAsia="Avenir Next" w:hAnsi="Avenir Next" w:cs="Avenir Next"/>
      <w:b/>
      <w:bCs/>
      <w:color w:val="929292"/>
      <w:sz w:val="18"/>
      <w:szCs w:val="18"/>
      <w:u w:color="929292"/>
    </w:rPr>
  </w:style>
  <w:style w:type="numbering" w:customStyle="1" w:styleId="Puce">
    <w:name w:val="Puce"/>
    <w:rsid w:val="00C17BC3"/>
    <w:pPr>
      <w:numPr>
        <w:numId w:val="2"/>
      </w:numPr>
    </w:pPr>
  </w:style>
  <w:style w:type="character" w:customStyle="1" w:styleId="Aucun">
    <w:name w:val="Aucun"/>
    <w:rsid w:val="00C17BC3"/>
  </w:style>
  <w:style w:type="character" w:customStyle="1" w:styleId="Hyperlink0">
    <w:name w:val="Hyperlink.0"/>
    <w:basedOn w:val="Aucun"/>
    <w:rsid w:val="00C17BC3"/>
    <w:rPr>
      <w:b/>
      <w:bCs/>
      <w:color w:val="000000"/>
      <w:sz w:val="22"/>
      <w:szCs w:val="22"/>
      <w:u w:val="single" w:color="00000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0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28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rsid w:val="0071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urekasante.fr/lexique-medical/G.html" TargetMode="External"/><Relationship Id="rId21" Type="http://schemas.openxmlformats.org/officeDocument/2006/relationships/hyperlink" Target="http://www.eurekasante.fr/lexique-medical/G.html" TargetMode="External"/><Relationship Id="rId22" Type="http://schemas.openxmlformats.org/officeDocument/2006/relationships/hyperlink" Target="http://www.eurekasante.fr/lexique-medical/H.html" TargetMode="External"/><Relationship Id="rId23" Type="http://schemas.openxmlformats.org/officeDocument/2006/relationships/hyperlink" Target="http://www.eurekasante.fr/lexique-medical/C.html" TargetMode="External"/><Relationship Id="rId24" Type="http://schemas.openxmlformats.org/officeDocument/2006/relationships/hyperlink" Target="http://www.eurekasante.fr/lexique-medical/P.html" TargetMode="External"/><Relationship Id="rId25" Type="http://schemas.openxmlformats.org/officeDocument/2006/relationships/hyperlink" Target="http://www.eurekasante.fr/lexique-medical/G.html" TargetMode="External"/><Relationship Id="rId26" Type="http://schemas.openxmlformats.org/officeDocument/2006/relationships/hyperlink" Target="http://www.eurekasante.fr/lexique-medical/G.html" TargetMode="External"/><Relationship Id="rId27" Type="http://schemas.openxmlformats.org/officeDocument/2006/relationships/image" Target="media/image3.jpeg"/><Relationship Id="rId28" Type="http://schemas.openxmlformats.org/officeDocument/2006/relationships/hyperlink" Target="http://www.eurekasante.fr/lexique-medical/G.html" TargetMode="External"/><Relationship Id="rId29" Type="http://schemas.openxmlformats.org/officeDocument/2006/relationships/hyperlink" Target="http://www.eurekasante.fr/lexique-medical/G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www.lamedecinelibre.com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http://www.eurekasante.fr/maladies/yeux/degenerescence-maculaire-dmla.html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www.eurekasante.fr/lexique-medical/G.html" TargetMode="External"/><Relationship Id="rId8" Type="http://schemas.openxmlformats.org/officeDocument/2006/relationships/hyperlink" Target="http://www.eurekasante.fr/lexique-medical/C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eurekasante.fr/lexique-medical/G.html" TargetMode="External"/><Relationship Id="rId11" Type="http://schemas.openxmlformats.org/officeDocument/2006/relationships/hyperlink" Target="http://www.eurekasante.fr/lexique-medical/G.html" TargetMode="External"/><Relationship Id="rId12" Type="http://schemas.openxmlformats.org/officeDocument/2006/relationships/hyperlink" Target="http://www.eurekasante.fr/lexique-medical/G.html" TargetMode="External"/><Relationship Id="rId13" Type="http://schemas.openxmlformats.org/officeDocument/2006/relationships/hyperlink" Target="http://www.eurekasante.fr/lexique-medical/G.html" TargetMode="External"/><Relationship Id="rId14" Type="http://schemas.openxmlformats.org/officeDocument/2006/relationships/hyperlink" Target="http://www.eurekasante.fr/lexique-medical/G.html" TargetMode="External"/><Relationship Id="rId15" Type="http://schemas.openxmlformats.org/officeDocument/2006/relationships/hyperlink" Target="http://www.eurekasante.fr/lexique-medical/R.html" TargetMode="External"/><Relationship Id="rId16" Type="http://schemas.openxmlformats.org/officeDocument/2006/relationships/hyperlink" Target="http://www.eurekasante.fr/lexique-medical/G.html" TargetMode="External"/><Relationship Id="rId17" Type="http://schemas.openxmlformats.org/officeDocument/2006/relationships/hyperlink" Target="http://www.eurekasante.fr/lexique-medical/P.html" TargetMode="External"/><Relationship Id="rId18" Type="http://schemas.openxmlformats.org/officeDocument/2006/relationships/hyperlink" Target="http://www.eurekasante.fr/lexique-medical/A.html" TargetMode="External"/><Relationship Id="rId19" Type="http://schemas.openxmlformats.org/officeDocument/2006/relationships/hyperlink" Target="http://www.eurekasante.fr/lexique-medical/A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3963</Characters>
  <Application>Microsoft Word 12.0.0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4866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http://www.lamedecinelibre.com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Masson</dc:creator>
  <cp:keywords/>
  <cp:lastModifiedBy>F Masson</cp:lastModifiedBy>
  <cp:revision>3</cp:revision>
  <dcterms:created xsi:type="dcterms:W3CDTF">2014-09-17T08:28:00Z</dcterms:created>
  <dcterms:modified xsi:type="dcterms:W3CDTF">2014-09-17T10:15:00Z</dcterms:modified>
</cp:coreProperties>
</file>