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7BC3" w:rsidRPr="0051667C" w:rsidRDefault="00870DB0" w:rsidP="0051667C">
      <w:pPr>
        <w:pStyle w:val="Corps"/>
        <w:spacing w:line="360" w:lineRule="auto"/>
      </w:pPr>
      <w:r w:rsidRPr="0051667C">
        <w:pict>
          <v:group id="_x0000_s1026" style="position:absolute;margin-left:0;margin-top:73.6pt;width:200.6pt;height:92.9pt;z-index:251661312;mso-wrap-distance-left:12pt;mso-wrap-distance-top:12pt;mso-wrap-distance-right:12pt;mso-wrap-distance-bottom:12pt;mso-position-horizontal-relative:margin;mso-position-vertical-relative:page" coordorigin=",-1" coordsize="2547757,1180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500;top:38099;width:2420757;height:1015034">
              <v:imagedata r:id="rId5" o:title="image"/>
            </v:shape>
            <v:shape id="_x0000_s1028" type="#_x0000_t75" style="position:absolute;top:-1;width:2547757;height:1180134">
              <v:imagedata r:id="rId6" o:title="image1"/>
            </v:shape>
            <w10:wrap anchorx="margin" anchory="page"/>
          </v:group>
        </w:pict>
      </w:r>
    </w:p>
    <w:p w:rsidR="00C17BC3" w:rsidRPr="0051667C" w:rsidRDefault="00C17BC3" w:rsidP="0051667C">
      <w:pPr>
        <w:pStyle w:val="Corps"/>
        <w:spacing w:line="360" w:lineRule="auto"/>
      </w:pPr>
    </w:p>
    <w:p w:rsidR="00C17BC3" w:rsidRPr="0051667C" w:rsidRDefault="00C17BC3" w:rsidP="0051667C">
      <w:pPr>
        <w:pStyle w:val="Corps"/>
        <w:spacing w:line="360" w:lineRule="auto"/>
      </w:pPr>
    </w:p>
    <w:p w:rsidR="00C17BC3" w:rsidRPr="0051667C" w:rsidRDefault="00C17BC3" w:rsidP="0051667C">
      <w:pPr>
        <w:pStyle w:val="Corps"/>
        <w:spacing w:line="360" w:lineRule="auto"/>
      </w:pPr>
    </w:p>
    <w:p w:rsidR="00C17BC3" w:rsidRPr="0051667C" w:rsidRDefault="00C17BC3" w:rsidP="0051667C">
      <w:pPr>
        <w:pStyle w:val="Corps"/>
        <w:spacing w:line="360" w:lineRule="auto"/>
      </w:pPr>
    </w:p>
    <w:p w:rsidR="00762151" w:rsidRP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51667C">
        <w:rPr>
          <w:rFonts w:ascii="Hoefler Text" w:hAnsi="Hoefler Text" w:cs="Verdana"/>
          <w:sz w:val="22"/>
          <w:szCs w:val="22"/>
          <w:lang w:val="fr-FR" w:eastAsia="fr-FR"/>
        </w:rPr>
        <w:t>La vésicule biliaire est une petite poche située sous le foie. Son rôle consiste à stocker la bile avant qu’elle se déverse dans l'i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n</w:t>
      </w:r>
      <w:r w:rsidR="0051667C">
        <w:rPr>
          <w:rFonts w:ascii="Hoefler Text" w:hAnsi="Hoefler Text" w:cs="Verdana"/>
          <w:sz w:val="22"/>
          <w:szCs w:val="22"/>
          <w:lang w:val="fr-FR" w:eastAsia="fr-FR"/>
        </w:rPr>
        <w:t>testin. Labile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 contient du </w:t>
      </w:r>
      <w:hyperlink r:id="rId7" w:anchor="cholesterol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cholestérol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>, des sels biliaires et des substances éliminées par le foie, dont certains médic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a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ments. Il arrive que le </w:t>
      </w:r>
      <w:hyperlink r:id="rId8" w:anchor="cholesterol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cholestérol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 de la bile forme des cristaux dans la vésicule biliaire : </w:t>
      </w:r>
      <w:r w:rsidR="00870DB0" w:rsidRPr="0051667C">
        <w:rPr>
          <w:rFonts w:ascii="Hoefler Text" w:hAnsi="Hoefler Text"/>
          <w:sz w:val="22"/>
        </w:rPr>
        <w:pict>
          <v:shape id="_x0000_s1029" style="position:absolute;margin-left:-207pt;margin-top:37.4pt;width:558pt;height:83.45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line" coordsize="21600,21600" path="m0,0l21600,,21600,21599,,21599xe" filled="f" stroked="f" strokeweight="1pt">
            <v:stroke miterlimit="4" joinstyle="miter"/>
            <v:textbox style="mso-next-textbox:#_x0000_s1029">
              <w:txbxContent>
                <w:p w:rsidR="00DE4D52" w:rsidRDefault="00762151">
                  <w:pPr>
                    <w:pStyle w:val="Titre"/>
                    <w:rPr>
                      <w:color w:val="2A5792"/>
                      <w:sz w:val="94"/>
                      <w:szCs w:val="94"/>
                      <w:u w:color="2A5792"/>
                    </w:rPr>
                  </w:pPr>
                  <w:r>
                    <w:rPr>
                      <w:color w:val="2A5792"/>
                      <w:sz w:val="94"/>
                      <w:szCs w:val="94"/>
                      <w:u w:color="2A5792"/>
                    </w:rPr>
                    <w:t>Lithiase VESICULAIRE</w:t>
                  </w:r>
                </w:p>
                <w:p w:rsidR="00DE4D52" w:rsidRDefault="00762151">
                  <w:pPr>
                    <w:pStyle w:val="En-ttesecondaire"/>
                  </w:pPr>
                  <w:r>
                    <w:rPr>
                      <w:color w:val="FF2C21"/>
                      <w:u w:color="2A5792"/>
                    </w:rPr>
                    <w:t>Crise de colique vésiculaire.</w:t>
                  </w:r>
                </w:p>
              </w:txbxContent>
            </v:textbox>
            <w10:wrap type="square" anchorx="margin"/>
          </v:shape>
        </w:pic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ce sont les calculs biliaires</w:t>
      </w:r>
    </w:p>
    <w:p w:rsidR="00762151" w:rsidRP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51667C">
        <w:rPr>
          <w:rFonts w:ascii="Hoefler Text" w:hAnsi="Hoefler Text" w:cs="Verdana"/>
          <w:sz w:val="22"/>
          <w:szCs w:val="22"/>
          <w:lang w:val="fr-FR" w:eastAsia="fr-FR"/>
        </w:rPr>
        <w:t>On peut avoir des calculs biliaires et ne ressentir a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u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cun </w:t>
      </w:r>
      <w:hyperlink r:id="rId9" w:anchor="symptome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symptôme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>. Une crise de colique biliaire se pr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o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duit lorsqu’un ou plusieurs calculs obstruent le conduit qui déverse la bile dans l'intestin. La bile s'accumule et provoque le gonflement de la vésicule biliaire. Une douleur intense à droite de l'estomac pouvant irradier dans le dos est ressentie. Ces douleurs s'a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c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compagnent parfois de nausées et de v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o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missements. Les urines peuvent être plus foncées. Ces crises ont tendance à se répéter de plus en plus fréquemment.</w:t>
      </w:r>
    </w:p>
    <w:p w:rsidR="00762151" w:rsidRP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</w:pPr>
      <w:r w:rsidRPr="0051667C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Quelles sont les complications des coliques biliaires ?</w:t>
      </w:r>
    </w:p>
    <w:p w:rsidR="00762151" w:rsidRP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Lorsqu’un </w:t>
      </w:r>
      <w:hyperlink r:id="rId10" w:anchor="calcul-biliaire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calcul biliaire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 obstrue de manière durable le conduit où s’écoule la bile, des complications inflammatoires et infe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c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tieuses peuvent survenir. Une infection de la vésicule biliaire (cholécystite aigüe) ou du canal biliaire (angiocholite aigüe) provoque de la fièvre, des douleurs intenses du ventre et, pa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r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fois, une jaunisse. Ces complications infectieuses sont rares mais elles justifient toujours une hospitalisation car elles pe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u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vent avoir de graves conséquences.</w:t>
      </w:r>
    </w:p>
    <w:p w:rsidR="00762151" w:rsidRP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</w:pPr>
      <w:r w:rsidRPr="0051667C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Quelles sont les causes des calculs biliaires ?</w:t>
      </w:r>
    </w:p>
    <w:p w:rsidR="00762151" w:rsidRP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51667C">
        <w:rPr>
          <w:rFonts w:ascii="Hoefler Text" w:hAnsi="Hoefler Text" w:cs="Verdana"/>
          <w:sz w:val="22"/>
          <w:szCs w:val="22"/>
          <w:lang w:val="fr-FR" w:eastAsia="fr-FR"/>
        </w:rPr>
        <w:t>Les calculs biliaires ont de nombreuses causes : facteurs héréd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i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taires, âge, </w:t>
      </w:r>
      <w:hyperlink r:id="rId11" w:anchor="obesite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obésité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, </w:t>
      </w:r>
      <w:hyperlink r:id="rId12" w:anchor="diabete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diabète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>, etc. Les femmes sont plus souvent touchées, en particulier celles qui ont connu plusieurs grosse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s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ses. En effet, les hormones féminines (estrogènes) augmentent la concentration de la bile en </w:t>
      </w:r>
      <w:hyperlink r:id="rId13" w:anchor="cholesterol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cholestérol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, augmentant ainsi le risque de </w:t>
      </w:r>
      <w:hyperlink r:id="rId14" w:anchor="calcul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calcul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>. Les contraceptifs hormonaux et les trait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e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ments de la </w:t>
      </w:r>
      <w:hyperlink r:id="rId15" w:anchor="menopause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ménopause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 à base d’estrogènes augmentent égal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e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ment le risque de crise de vésicule biliaire.</w:t>
      </w:r>
    </w:p>
    <w:p w:rsid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51667C">
        <w:rPr>
          <w:rFonts w:ascii="Hoefler Text" w:hAnsi="Hoefler Text" w:cs="Verdana"/>
          <w:sz w:val="22"/>
          <w:szCs w:val="22"/>
          <w:lang w:val="fr-FR" w:eastAsia="fr-FR"/>
        </w:rPr>
        <w:t>Les personnes qui souffrent de maladies intestinales inflamm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a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toires chroniques présentent un risque plus élevé</w:t>
      </w:r>
      <w:r w:rsidR="0051667C">
        <w:rPr>
          <w:rFonts w:ascii="Hoefler Text" w:hAnsi="Hoefler Text" w:cs="Verdana"/>
          <w:sz w:val="22"/>
          <w:szCs w:val="22"/>
          <w:lang w:val="fr-FR" w:eastAsia="fr-FR"/>
        </w:rPr>
        <w:t>.</w:t>
      </w:r>
    </w:p>
    <w:p w:rsid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51667C">
        <w:rPr>
          <w:rFonts w:ascii="Hoefler Text" w:hAnsi="Hoefler Text" w:cs="Verdana"/>
          <w:sz w:val="22"/>
          <w:szCs w:val="22"/>
          <w:lang w:val="fr-FR" w:eastAsia="fr-FR"/>
        </w:rPr>
        <w:t>Enfin, ce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r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tains traitements médicamenteux, notamment ceux destinés à rédu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i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re le </w:t>
      </w:r>
      <w:hyperlink r:id="rId16" w:anchor="cholesterol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cholestérol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>, favorisent parfois l’apparition de calculs bilia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i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res (mais un excès de </w:t>
      </w:r>
      <w:hyperlink r:id="rId17" w:anchor="cholesterol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cholestérol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 dans le sang ne prédisp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o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se pas aux coliques biliaires).</w:t>
      </w:r>
    </w:p>
    <w:p w:rsidR="00762151" w:rsidRP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</w:p>
    <w:p w:rsidR="00762151" w:rsidRP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</w:pPr>
      <w:r w:rsidRPr="0051667C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Comment diagnostique-t-on les col</w:t>
      </w:r>
      <w:r w:rsidRPr="0051667C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i</w:t>
      </w:r>
      <w:r w:rsidRPr="0051667C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ques biliaires ?</w:t>
      </w:r>
    </w:p>
    <w:p w:rsid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51667C">
        <w:rPr>
          <w:rFonts w:ascii="Hoefler Text" w:hAnsi="Hoefler Text" w:cs="Verdana"/>
          <w:sz w:val="22"/>
          <w:szCs w:val="22"/>
          <w:lang w:val="fr-FR" w:eastAsia="fr-FR"/>
        </w:rPr>
        <w:t>C'est à l'occasion d'une crise que l'on recherche les calculs b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i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liaires. Ils sont visibles par </w:t>
      </w:r>
      <w:hyperlink r:id="rId18" w:anchor="echographie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échographie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 </w:t>
      </w:r>
      <w:r w:rsidR="0051667C">
        <w:rPr>
          <w:rFonts w:ascii="Hoefler Text" w:hAnsi="Hoefler Text" w:cs="Verdana"/>
          <w:sz w:val="22"/>
          <w:szCs w:val="22"/>
          <w:lang w:val="fr-FR" w:eastAsia="fr-FR"/>
        </w:rPr>
        <w:t>.</w:t>
      </w:r>
    </w:p>
    <w:p w:rsidR="0051667C" w:rsidRDefault="0051667C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</w:p>
    <w:p w:rsidR="00762151" w:rsidRP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</w:pPr>
      <w:r w:rsidRPr="0051667C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Comment prévenir les coliques bilia</w:t>
      </w:r>
      <w:r w:rsidRPr="0051667C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i</w:t>
      </w:r>
      <w:r w:rsidRPr="0051667C">
        <w:rPr>
          <w:rFonts w:ascii="Hoefler Text" w:hAnsi="Hoefler Text" w:cs="Verdana"/>
          <w:bCs/>
          <w:color w:val="365F91" w:themeColor="accent1" w:themeShade="BF"/>
          <w:sz w:val="22"/>
          <w:szCs w:val="28"/>
          <w:lang w:val="fr-FR" w:eastAsia="fr-FR"/>
        </w:rPr>
        <w:t>res ?</w:t>
      </w:r>
    </w:p>
    <w:p w:rsidR="00762151" w:rsidRPr="0051667C" w:rsidRDefault="00762151" w:rsidP="0051667C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51667C">
        <w:rPr>
          <w:rFonts w:ascii="Hoefler Text" w:hAnsi="Hoefler Text" w:cs="Verdana"/>
          <w:sz w:val="22"/>
          <w:szCs w:val="22"/>
          <w:lang w:val="fr-FR" w:eastAsia="fr-FR"/>
        </w:rPr>
        <w:t>Luttez contre l’</w:t>
      </w:r>
      <w:hyperlink r:id="rId19" w:anchor="obesite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obésité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>. L’</w:t>
      </w:r>
      <w:hyperlink r:id="rId20" w:anchor="obesite" w:history="1">
        <w:r w:rsidRPr="0051667C">
          <w:rPr>
            <w:rFonts w:ascii="Hoefler Text" w:hAnsi="Hoefler Text" w:cs="Verdana"/>
            <w:sz w:val="22"/>
            <w:szCs w:val="22"/>
            <w:lang w:val="fr-FR" w:eastAsia="fr-FR"/>
          </w:rPr>
          <w:t>obésité</w:t>
        </w:r>
      </w:hyperlink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 et le surpoids mult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i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plient par deux le risque de formation des calculs. Mieux vaut adopter une alimentation saine et équil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i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brée pour les prévenir. Évitez les repas trop gras ou trop pauvres en fibres.</w:t>
      </w:r>
    </w:p>
    <w:p w:rsidR="00762151" w:rsidRPr="0051667C" w:rsidRDefault="00762151" w:rsidP="0051667C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51667C">
        <w:rPr>
          <w:rFonts w:ascii="Hoefler Text" w:hAnsi="Hoefler Text" w:cs="Verdana"/>
          <w:sz w:val="22"/>
          <w:szCs w:val="22"/>
          <w:lang w:val="fr-FR" w:eastAsia="fr-FR"/>
        </w:rPr>
        <w:t>Évitez les périodes de jeûne. Le jeûne favorise la stagn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a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tion de la bile (la vésicule se contracte moins souvent) et la formation de calculs b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i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liaires.</w:t>
      </w:r>
    </w:p>
    <w:p w:rsidR="00762151" w:rsidRPr="0051667C" w:rsidRDefault="00762151" w:rsidP="0051667C">
      <w:pPr>
        <w:pStyle w:val="Paragraphedeliste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51667C">
        <w:rPr>
          <w:rFonts w:ascii="Hoefler Text" w:hAnsi="Hoefler Text" w:cs="Verdana"/>
          <w:sz w:val="22"/>
          <w:szCs w:val="22"/>
          <w:lang w:val="fr-FR" w:eastAsia="fr-FR"/>
        </w:rPr>
        <w:t>Perdez du poids raisonnablement. Ne vous lancez pas dans un régime qui vous ferait perdre du poids trop v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i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te, cela augmente le risque de colique biliaire. De plus, l'alte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r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nance de phases d’amaigrissement et de phases de prise de poids pourrait provoquer la formation de ca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l</w:t>
      </w:r>
      <w:r w:rsidR="0051667C">
        <w:rPr>
          <w:rFonts w:ascii="Hoefler Text" w:hAnsi="Hoefler Text" w:cs="Verdana"/>
          <w:noProof/>
          <w:sz w:val="22"/>
          <w:szCs w:val="22"/>
          <w:lang w:val="fr-FR" w:eastAsia="fr-FR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margin">
              <wp:posOffset>-2171700</wp:posOffset>
            </wp:positionH>
            <wp:positionV relativeFrom="line">
              <wp:posOffset>53975</wp:posOffset>
            </wp:positionV>
            <wp:extent cx="1438910" cy="1438910"/>
            <wp:effectExtent l="25400" t="0" r="8890" b="0"/>
            <wp:wrapNone/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 rotWithShape="1"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 xml:space="preserve">culs. </w:t>
      </w:r>
    </w:p>
    <w:p w:rsidR="00762151" w:rsidRPr="0051667C" w:rsidRDefault="00762151" w:rsidP="0051667C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sz w:val="22"/>
          <w:szCs w:val="22"/>
          <w:lang w:val="fr-FR" w:eastAsia="fr-FR"/>
        </w:rPr>
      </w:pPr>
      <w:r w:rsidRPr="0051667C">
        <w:rPr>
          <w:rFonts w:ascii="Hoefler Text" w:hAnsi="Hoefler Text" w:cs="Verdana"/>
          <w:sz w:val="22"/>
          <w:szCs w:val="22"/>
          <w:lang w:val="fr-FR" w:eastAsia="fr-FR"/>
        </w:rPr>
        <w:t>Faites de l’exercice. Pratiquée régulièrement, l’activité physique contribuerait à diminuer le risque de form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a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tion des ca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l</w:t>
      </w:r>
      <w:r w:rsidRPr="0051667C">
        <w:rPr>
          <w:rFonts w:ascii="Hoefler Text" w:hAnsi="Hoefler Text" w:cs="Verdana"/>
          <w:sz w:val="22"/>
          <w:szCs w:val="22"/>
          <w:lang w:val="fr-FR" w:eastAsia="fr-FR"/>
        </w:rPr>
        <w:t>culs.</w:t>
      </w:r>
    </w:p>
    <w:p w:rsidR="00762151" w:rsidRPr="0051667C" w:rsidRDefault="00762151" w:rsidP="00516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00" w:line="360" w:lineRule="auto"/>
        <w:rPr>
          <w:rFonts w:ascii="Hoefler Text" w:hAnsi="Hoefler Text" w:cs="Verdana"/>
          <w:bCs/>
          <w:color w:val="343434"/>
          <w:sz w:val="22"/>
          <w:szCs w:val="22"/>
          <w:lang w:val="fr-FR" w:eastAsia="fr-FR"/>
        </w:rPr>
      </w:pPr>
    </w:p>
    <w:p w:rsidR="00C17BC3" w:rsidRPr="0051667C" w:rsidRDefault="00870DB0" w:rsidP="0051667C">
      <w:pPr>
        <w:pStyle w:val="Corps"/>
        <w:spacing w:line="360" w:lineRule="auto"/>
      </w:pPr>
      <w:r w:rsidRPr="0051667C">
        <w:pict>
          <v:shape id="_x0000_s1031" style="position:absolute;margin-left:-180pt;margin-top:24.9pt;width:138pt;height:59pt;z-index:251662336;visibility:visible;mso-wrap-distance-left:12pt;mso-wrap-distance-top:12pt;mso-wrap-distance-right:12pt;mso-wrap-distance-bottom:12pt;mso-position-horizontal:absolute;mso-position-horizontal-relative:margin;mso-position-vertical:absolute;mso-position-vertical-relative:line" coordsize="21600,21600" path="m0,0l21600,,21600,21599,,21599xe" filled="f" stroked="f" strokeweight="1pt">
            <v:stroke miterlimit="4" joinstyle="miter"/>
            <v:textbox style="mso-next-textbox:#_x0000_s1031">
              <w:txbxContent>
                <w:p w:rsidR="00DE4D52" w:rsidRDefault="00870DB0">
                  <w:pPr>
                    <w:pStyle w:val="Lgende"/>
                  </w:pPr>
                  <w:hyperlink r:id="rId22" w:history="1">
                    <w:r w:rsidR="00DE4D52">
                      <w:rPr>
                        <w:rStyle w:val="Hyperlink0"/>
                        <w:rFonts w:ascii="Times New Roman" w:eastAsia="Times New Roman" w:hAnsi="Times New Roman" w:cs="Times New Roman"/>
                      </w:rPr>
                      <w:t>www.lamedecinelibre.com</w:t>
                    </w:r>
                  </w:hyperlink>
                </w:p>
              </w:txbxContent>
            </v:textbox>
            <w10:wrap type="square" side="left" anchorx="margin"/>
          </v:shape>
        </w:pict>
      </w:r>
    </w:p>
    <w:sectPr w:rsidR="00C17BC3" w:rsidRPr="0051667C" w:rsidSect="00C17BC3">
      <w:headerReference w:type="default" r:id="rId23"/>
      <w:footerReference w:type="default" r:id="rId24"/>
      <w:pgSz w:w="11900" w:h="16840"/>
      <w:pgMar w:top="1600" w:right="1600" w:bottom="1400" w:left="4400" w:footer="11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E4D52" w:rsidRDefault="00DE4D52">
    <w:pPr>
      <w:pStyle w:val="En-tte"/>
      <w:tabs>
        <w:tab w:val="center" w:pos="2950"/>
        <w:tab w:val="right" w:pos="5880"/>
      </w:tabs>
      <w:jc w:val="left"/>
    </w:pPr>
    <w:r>
      <w:tab/>
    </w:r>
    <w:r>
      <w:tab/>
    </w:r>
    <w:fldSimple w:instr=" PAGE ">
      <w:r w:rsidR="0051667C">
        <w:rPr>
          <w:noProof/>
        </w:rPr>
        <w:t>2</w:t>
      </w:r>
    </w:fldSimple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E4D52" w:rsidRDefault="00DE4D52">
    <w:pPr>
      <w:pStyle w:val="En-tte"/>
      <w:tabs>
        <w:tab w:val="center" w:pos="2950"/>
        <w:tab w:val="right" w:pos="5880"/>
      </w:tabs>
      <w:jc w:val="left"/>
    </w:pPr>
    <w:r>
      <w:tab/>
    </w:r>
    <w:r>
      <w:tab/>
    </w:r>
    <w:r w:rsidR="00762151">
      <w:t>Cholecystite</w:t>
    </w:r>
  </w:p>
  <w:p w:rsidR="00DE4D52" w:rsidRDefault="00DE4D52">
    <w:pPr>
      <w:pStyle w:val="En-tte"/>
      <w:tabs>
        <w:tab w:val="center" w:pos="2950"/>
        <w:tab w:val="right" w:pos="5880"/>
      </w:tabs>
      <w:jc w:val="left"/>
    </w:pPr>
  </w:p>
  <w:p w:rsidR="00DE4D52" w:rsidRDefault="00DE4D52">
    <w:pPr>
      <w:pStyle w:val="En-tte"/>
      <w:tabs>
        <w:tab w:val="center" w:pos="2950"/>
        <w:tab w:val="right" w:pos="5880"/>
      </w:tabs>
      <w:jc w:val="left"/>
    </w:pPr>
    <w: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5C7CEB"/>
    <w:multiLevelType w:val="hybridMultilevel"/>
    <w:tmpl w:val="4BC41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A7A15"/>
    <w:multiLevelType w:val="hybridMultilevel"/>
    <w:tmpl w:val="7D56E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91C20"/>
    <w:multiLevelType w:val="hybridMultilevel"/>
    <w:tmpl w:val="714AA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483F"/>
    <w:multiLevelType w:val="hybridMultilevel"/>
    <w:tmpl w:val="9C2025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6C6AEA"/>
    <w:multiLevelType w:val="multilevel"/>
    <w:tmpl w:val="CABC20B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</w:abstractNum>
  <w:abstractNum w:abstractNumId="10">
    <w:nsid w:val="247C731B"/>
    <w:multiLevelType w:val="hybridMultilevel"/>
    <w:tmpl w:val="418C2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188C"/>
    <w:multiLevelType w:val="hybridMultilevel"/>
    <w:tmpl w:val="B2920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B4240"/>
    <w:multiLevelType w:val="hybridMultilevel"/>
    <w:tmpl w:val="827C4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C29DF"/>
    <w:multiLevelType w:val="hybridMultilevel"/>
    <w:tmpl w:val="0C0C9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759E1"/>
    <w:multiLevelType w:val="hybridMultilevel"/>
    <w:tmpl w:val="B96A8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A69BE"/>
    <w:multiLevelType w:val="hybridMultilevel"/>
    <w:tmpl w:val="D0A8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D03CD"/>
    <w:multiLevelType w:val="hybridMultilevel"/>
    <w:tmpl w:val="0A28F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814C4"/>
    <w:multiLevelType w:val="hybridMultilevel"/>
    <w:tmpl w:val="941EB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1030B"/>
    <w:multiLevelType w:val="hybridMultilevel"/>
    <w:tmpl w:val="EE6E7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726CE"/>
    <w:multiLevelType w:val="hybridMultilevel"/>
    <w:tmpl w:val="EFAE8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72DF5"/>
    <w:multiLevelType w:val="hybridMultilevel"/>
    <w:tmpl w:val="BD98E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C7752"/>
    <w:multiLevelType w:val="hybridMultilevel"/>
    <w:tmpl w:val="C158E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63A"/>
    <w:multiLevelType w:val="multilevel"/>
    <w:tmpl w:val="E5466E12"/>
    <w:styleLink w:val="Puc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oefler Text" w:eastAsia="Hoefler Text" w:hAnsi="Hoefler T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</w:rPr>
    </w:lvl>
  </w:abstractNum>
  <w:abstractNum w:abstractNumId="23">
    <w:nsid w:val="4D480C83"/>
    <w:multiLevelType w:val="hybridMultilevel"/>
    <w:tmpl w:val="59BE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C5B94"/>
    <w:multiLevelType w:val="hybridMultilevel"/>
    <w:tmpl w:val="FB629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16591"/>
    <w:multiLevelType w:val="hybridMultilevel"/>
    <w:tmpl w:val="1E228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33A76"/>
    <w:multiLevelType w:val="hybridMultilevel"/>
    <w:tmpl w:val="4F8E72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735F32"/>
    <w:multiLevelType w:val="hybridMultilevel"/>
    <w:tmpl w:val="859E7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10F36"/>
    <w:multiLevelType w:val="hybridMultilevel"/>
    <w:tmpl w:val="3FF4C4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C3BD1"/>
    <w:multiLevelType w:val="hybridMultilevel"/>
    <w:tmpl w:val="EC0AC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22718"/>
    <w:multiLevelType w:val="hybridMultilevel"/>
    <w:tmpl w:val="040A64A8"/>
    <w:lvl w:ilvl="0" w:tplc="0A26D466">
      <w:start w:val="1"/>
      <w:numFmt w:val="decimal"/>
      <w:lvlText w:val="%1)"/>
      <w:lvlJc w:val="left"/>
      <w:pPr>
        <w:ind w:left="780" w:hanging="420"/>
      </w:pPr>
      <w:rPr>
        <w:rFonts w:hint="default"/>
        <w:b/>
        <w:color w:val="2626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F4315"/>
    <w:multiLevelType w:val="hybridMultilevel"/>
    <w:tmpl w:val="9EF6B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254A7"/>
    <w:multiLevelType w:val="hybridMultilevel"/>
    <w:tmpl w:val="A7620E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C21FD8"/>
    <w:multiLevelType w:val="hybridMultilevel"/>
    <w:tmpl w:val="A89E22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0"/>
  </w:num>
  <w:num w:numId="4">
    <w:abstractNumId w:val="23"/>
  </w:num>
  <w:num w:numId="5">
    <w:abstractNumId w:val="32"/>
  </w:num>
  <w:num w:numId="6">
    <w:abstractNumId w:val="0"/>
  </w:num>
  <w:num w:numId="7">
    <w:abstractNumId w:val="1"/>
  </w:num>
  <w:num w:numId="8">
    <w:abstractNumId w:val="15"/>
  </w:num>
  <w:num w:numId="9">
    <w:abstractNumId w:val="33"/>
  </w:num>
  <w:num w:numId="10">
    <w:abstractNumId w:val="29"/>
  </w:num>
  <w:num w:numId="11">
    <w:abstractNumId w:val="16"/>
  </w:num>
  <w:num w:numId="12">
    <w:abstractNumId w:val="27"/>
  </w:num>
  <w:num w:numId="13">
    <w:abstractNumId w:val="8"/>
  </w:num>
  <w:num w:numId="14">
    <w:abstractNumId w:val="26"/>
  </w:num>
  <w:num w:numId="15">
    <w:abstractNumId w:val="17"/>
  </w:num>
  <w:num w:numId="16">
    <w:abstractNumId w:val="21"/>
  </w:num>
  <w:num w:numId="17">
    <w:abstractNumId w:val="24"/>
  </w:num>
  <w:num w:numId="18">
    <w:abstractNumId w:val="25"/>
  </w:num>
  <w:num w:numId="19">
    <w:abstractNumId w:val="2"/>
  </w:num>
  <w:num w:numId="20">
    <w:abstractNumId w:val="3"/>
  </w:num>
  <w:num w:numId="21">
    <w:abstractNumId w:val="4"/>
  </w:num>
  <w:num w:numId="22">
    <w:abstractNumId w:val="14"/>
  </w:num>
  <w:num w:numId="23">
    <w:abstractNumId w:val="18"/>
  </w:num>
  <w:num w:numId="24">
    <w:abstractNumId w:val="28"/>
  </w:num>
  <w:num w:numId="25">
    <w:abstractNumId w:val="5"/>
  </w:num>
  <w:num w:numId="26">
    <w:abstractNumId w:val="12"/>
  </w:num>
  <w:num w:numId="27">
    <w:abstractNumId w:val="11"/>
  </w:num>
  <w:num w:numId="28">
    <w:abstractNumId w:val="6"/>
  </w:num>
  <w:num w:numId="29">
    <w:abstractNumId w:val="13"/>
  </w:num>
  <w:num w:numId="30">
    <w:abstractNumId w:val="19"/>
  </w:num>
  <w:num w:numId="31">
    <w:abstractNumId w:val="20"/>
  </w:num>
  <w:num w:numId="32">
    <w:abstractNumId w:val="10"/>
  </w:num>
  <w:num w:numId="33">
    <w:abstractNumId w:val="7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autoHyphenation/>
  <w:hyphenationZone w:val="425"/>
  <w:characterSpacingControl w:val="doNotCompress"/>
  <w:savePreviewPicture/>
  <w:hdrShapeDefaults>
    <o:shapedefaults v:ext="edit" spidmax="2050"/>
  </w:hdrShapeDefaults>
  <w:compat/>
  <w:rsids>
    <w:rsidRoot w:val="00C17BC3"/>
    <w:rsid w:val="000124E9"/>
    <w:rsid w:val="00021E6E"/>
    <w:rsid w:val="00034B53"/>
    <w:rsid w:val="00044EEB"/>
    <w:rsid w:val="00055B99"/>
    <w:rsid w:val="000732CF"/>
    <w:rsid w:val="00096435"/>
    <w:rsid w:val="00117EF2"/>
    <w:rsid w:val="00125F7F"/>
    <w:rsid w:val="0017248B"/>
    <w:rsid w:val="00190EC6"/>
    <w:rsid w:val="001E632F"/>
    <w:rsid w:val="001F5E0C"/>
    <w:rsid w:val="00231115"/>
    <w:rsid w:val="002D21C8"/>
    <w:rsid w:val="002F1021"/>
    <w:rsid w:val="003071F3"/>
    <w:rsid w:val="0035380D"/>
    <w:rsid w:val="0035616B"/>
    <w:rsid w:val="00360CED"/>
    <w:rsid w:val="0040755A"/>
    <w:rsid w:val="0044384A"/>
    <w:rsid w:val="004A0282"/>
    <w:rsid w:val="004A1D76"/>
    <w:rsid w:val="004A2DB5"/>
    <w:rsid w:val="004C12C9"/>
    <w:rsid w:val="004E226A"/>
    <w:rsid w:val="004F7C5F"/>
    <w:rsid w:val="00500353"/>
    <w:rsid w:val="0051667C"/>
    <w:rsid w:val="005210A3"/>
    <w:rsid w:val="0052457C"/>
    <w:rsid w:val="005A4DA8"/>
    <w:rsid w:val="005A72E7"/>
    <w:rsid w:val="005D23CF"/>
    <w:rsid w:val="00682DF7"/>
    <w:rsid w:val="006A6AF2"/>
    <w:rsid w:val="006B74F7"/>
    <w:rsid w:val="006C290D"/>
    <w:rsid w:val="006F1CE5"/>
    <w:rsid w:val="00711908"/>
    <w:rsid w:val="00716AAB"/>
    <w:rsid w:val="00762151"/>
    <w:rsid w:val="007A5756"/>
    <w:rsid w:val="007B2FB3"/>
    <w:rsid w:val="007E37DC"/>
    <w:rsid w:val="0080354E"/>
    <w:rsid w:val="00866B04"/>
    <w:rsid w:val="00870DB0"/>
    <w:rsid w:val="008A1851"/>
    <w:rsid w:val="008A7D61"/>
    <w:rsid w:val="00907520"/>
    <w:rsid w:val="00953B53"/>
    <w:rsid w:val="009A208F"/>
    <w:rsid w:val="009F1616"/>
    <w:rsid w:val="00AD32D2"/>
    <w:rsid w:val="00AD7887"/>
    <w:rsid w:val="00B109EA"/>
    <w:rsid w:val="00B606BF"/>
    <w:rsid w:val="00BF2096"/>
    <w:rsid w:val="00BF242B"/>
    <w:rsid w:val="00C028C8"/>
    <w:rsid w:val="00C17BC3"/>
    <w:rsid w:val="00C246FF"/>
    <w:rsid w:val="00D7421B"/>
    <w:rsid w:val="00D94A9F"/>
    <w:rsid w:val="00DB6326"/>
    <w:rsid w:val="00DE4D52"/>
    <w:rsid w:val="00E443D2"/>
    <w:rsid w:val="00E51EE7"/>
    <w:rsid w:val="00E55097"/>
    <w:rsid w:val="00E72EF5"/>
    <w:rsid w:val="00E74D4A"/>
    <w:rsid w:val="00EE78F9"/>
    <w:rsid w:val="00F00176"/>
    <w:rsid w:val="00F01C76"/>
    <w:rsid w:val="00F1196B"/>
    <w:rsid w:val="00F43AC5"/>
    <w:rsid w:val="00F50479"/>
    <w:rsid w:val="00F557E6"/>
    <w:rsid w:val="00F828F5"/>
    <w:rsid w:val="00F91FFA"/>
    <w:rsid w:val="00FB0688"/>
    <w:rsid w:val="00FF7D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C17BC3"/>
    <w:rPr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C17BC3"/>
    <w:rPr>
      <w:u w:val="single"/>
    </w:rPr>
  </w:style>
  <w:style w:type="table" w:customStyle="1" w:styleId="TableNormal">
    <w:name w:val="Table Normal"/>
    <w:rsid w:val="00C17B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C17BC3"/>
    <w:pPr>
      <w:spacing w:line="288" w:lineRule="auto"/>
      <w:jc w:val="right"/>
    </w:pPr>
    <w:rPr>
      <w:rFonts w:ascii="Avenir Next" w:eastAsia="Avenir Next" w:hAnsi="Avenir Next" w:cs="Avenir Next"/>
      <w:b/>
      <w:bCs/>
      <w:color w:val="AAAAAA"/>
      <w:sz w:val="18"/>
      <w:szCs w:val="18"/>
      <w:u w:color="AAAAAA"/>
    </w:rPr>
  </w:style>
  <w:style w:type="paragraph" w:customStyle="1" w:styleId="Corps">
    <w:name w:val="Corps"/>
    <w:rsid w:val="00C17BC3"/>
    <w:pP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  <w:u w:color="000000"/>
    </w:rPr>
  </w:style>
  <w:style w:type="paragraph" w:styleId="Titre">
    <w:name w:val="Title"/>
    <w:next w:val="Corps"/>
    <w:rsid w:val="00C17BC3"/>
    <w:pPr>
      <w:keepNext/>
      <w:spacing w:after="40"/>
    </w:pPr>
    <w:rPr>
      <w:rFonts w:ascii="Hoefler Text" w:eastAsia="Hoefler Text" w:hAnsi="Hoefler Text" w:cs="Hoefler Text"/>
      <w:color w:val="00908A"/>
      <w:sz w:val="96"/>
      <w:szCs w:val="96"/>
      <w:u w:color="00908A"/>
    </w:rPr>
  </w:style>
  <w:style w:type="paragraph" w:customStyle="1" w:styleId="En-ttesecondaire">
    <w:name w:val="En-tête secondaire"/>
    <w:next w:val="Corps"/>
    <w:rsid w:val="00C17BC3"/>
    <w:pPr>
      <w:spacing w:before="80" w:after="180"/>
      <w:outlineLvl w:val="0"/>
    </w:pPr>
    <w:rPr>
      <w:rFonts w:ascii="Hoefler Text" w:eastAsia="Hoefler Text" w:hAnsi="Hoefler Text" w:cs="Hoefler Text"/>
      <w:color w:val="E22400"/>
      <w:sz w:val="36"/>
      <w:szCs w:val="36"/>
      <w:u w:color="E22400"/>
    </w:rPr>
  </w:style>
  <w:style w:type="paragraph" w:styleId="Lgende">
    <w:name w:val="caption"/>
    <w:rsid w:val="00C17BC3"/>
    <w:pPr>
      <w:spacing w:before="80" w:after="180" w:line="288" w:lineRule="auto"/>
    </w:pPr>
    <w:rPr>
      <w:rFonts w:ascii="Avenir Next" w:eastAsia="Avenir Next" w:hAnsi="Avenir Next" w:cs="Avenir Next"/>
      <w:b/>
      <w:bCs/>
      <w:color w:val="929292"/>
      <w:sz w:val="18"/>
      <w:szCs w:val="18"/>
      <w:u w:color="929292"/>
    </w:rPr>
  </w:style>
  <w:style w:type="numbering" w:customStyle="1" w:styleId="Puce">
    <w:name w:val="Puce"/>
    <w:rsid w:val="00C17BC3"/>
    <w:pPr>
      <w:numPr>
        <w:numId w:val="2"/>
      </w:numPr>
    </w:pPr>
  </w:style>
  <w:style w:type="character" w:customStyle="1" w:styleId="Aucun">
    <w:name w:val="Aucun"/>
    <w:rsid w:val="00C17BC3"/>
  </w:style>
  <w:style w:type="character" w:customStyle="1" w:styleId="Hyperlink0">
    <w:name w:val="Hyperlink.0"/>
    <w:basedOn w:val="Aucun"/>
    <w:rsid w:val="00C17BC3"/>
    <w:rPr>
      <w:b/>
      <w:bCs/>
      <w:color w:val="000000"/>
      <w:sz w:val="22"/>
      <w:szCs w:val="22"/>
      <w:u w:val="single" w:color="000000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A02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0282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rsid w:val="0071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urekasante.fr/lexique-medical/S.html" TargetMode="External"/><Relationship Id="rId20" Type="http://schemas.openxmlformats.org/officeDocument/2006/relationships/hyperlink" Target="http://www.eurekasante.fr/lexique-medical/O.html" TargetMode="External"/><Relationship Id="rId21" Type="http://schemas.openxmlformats.org/officeDocument/2006/relationships/image" Target="media/image3.jpeg"/><Relationship Id="rId22" Type="http://schemas.openxmlformats.org/officeDocument/2006/relationships/hyperlink" Target="http://www.lamedecinelibre.c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eurekasante.fr/lexique-medical/C.html" TargetMode="External"/><Relationship Id="rId11" Type="http://schemas.openxmlformats.org/officeDocument/2006/relationships/hyperlink" Target="http://www.eurekasante.fr/lexique-medical/O.html" TargetMode="External"/><Relationship Id="rId12" Type="http://schemas.openxmlformats.org/officeDocument/2006/relationships/hyperlink" Target="http://www.eurekasante.fr/lexique-medical/D.html" TargetMode="External"/><Relationship Id="rId13" Type="http://schemas.openxmlformats.org/officeDocument/2006/relationships/hyperlink" Target="http://www.eurekasante.fr/lexique-medical/C.html" TargetMode="External"/><Relationship Id="rId14" Type="http://schemas.openxmlformats.org/officeDocument/2006/relationships/hyperlink" Target="http://www.eurekasante.fr/lexique-medical/C.html" TargetMode="External"/><Relationship Id="rId15" Type="http://schemas.openxmlformats.org/officeDocument/2006/relationships/hyperlink" Target="http://www.eurekasante.fr/lexique-medical/M.html" TargetMode="External"/><Relationship Id="rId16" Type="http://schemas.openxmlformats.org/officeDocument/2006/relationships/hyperlink" Target="http://www.eurekasante.fr/lexique-medical/C.html" TargetMode="External"/><Relationship Id="rId17" Type="http://schemas.openxmlformats.org/officeDocument/2006/relationships/hyperlink" Target="http://www.eurekasante.fr/lexique-medical/C.html" TargetMode="External"/><Relationship Id="rId18" Type="http://schemas.openxmlformats.org/officeDocument/2006/relationships/hyperlink" Target="http://www.eurekasante.fr/lexique-medical/E.html" TargetMode="External"/><Relationship Id="rId19" Type="http://schemas.openxmlformats.org/officeDocument/2006/relationships/hyperlink" Target="http://www.eurekasante.fr/lexique-medical/O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urekasante.fr/lexique-medical/C.html" TargetMode="External"/><Relationship Id="rId8" Type="http://schemas.openxmlformats.org/officeDocument/2006/relationships/hyperlink" Target="http://www.eurekasante.fr/lexique-medical/C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3641</Characters>
  <Application>Microsoft Word 12.0.0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4471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http://www.lamedecinelibre.com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Masson</dc:creator>
  <cp:keywords/>
  <cp:lastModifiedBy>F Masson</cp:lastModifiedBy>
  <cp:revision>3</cp:revision>
  <dcterms:created xsi:type="dcterms:W3CDTF">2014-09-17T08:47:00Z</dcterms:created>
  <dcterms:modified xsi:type="dcterms:W3CDTF">2014-09-17T10:40:00Z</dcterms:modified>
</cp:coreProperties>
</file>